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3</w:t>
      </w:r>
    </w:p>
    <w:p>
      <w:pPr/>
      <w:r>
        <w:rPr/>
        <w:t xml:space="preserve">Protection rating (IP): IP 65</w:t>
      </w:r>
    </w:p>
    <w:p>
      <w:pPr/>
      <w:r>
        <w:rPr/>
        <w:t xml:space="preserve">Impact restistence rate IK: IK 8</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2,1 W W</w:t>
      </w:r>
    </w:p>
    <w:p>
      <w:pPr/>
      <w:r>
        <w:rPr/>
        <w:t xml:space="preserve">Power non-maintained mode: 0,4 W W</w:t>
      </w:r>
    </w:p>
    <w:p>
      <w:pPr/>
      <w:r>
        <w:rPr/>
        <w:t xml:space="preserve">Luminous Flux Emergency Operation: 220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ZAW519CC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0FDA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2024-09-09T14:32:38+02:00</dcterms:created>
  <dcterms:modified xsi:type="dcterms:W3CDTF">2024-09-09T14:32:38+02:00</dcterms:modified>
</cp:coreProperties>
</file>

<file path=docProps/custom.xml><?xml version="1.0" encoding="utf-8"?>
<Properties xmlns="http://schemas.openxmlformats.org/officeDocument/2006/custom-properties" xmlns:vt="http://schemas.openxmlformats.org/officeDocument/2006/docPropsVTypes"/>
</file>