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15 W</w:t></w:r></w:p><w:p><w:pPr/></w:p><w:p><w:pPr/><w:r><w:rPr/><w:t xml:space="preserve">Données d'éclairage:</w:t></w:r></w:p><w:p><w:pPr/><w:r><w:rPr/><w:t xml:space="preserve">Flux lumineux nominal: 2.000 lm</w:t></w:r></w:p><w:p><w:pPr/><w:r><w:rPr/><w:t xml:space="preserve">Température de couleur: 4000 K</w:t></w:r></w:p><w:p><w:pPr/><w:r><w:rPr/><w:t xml:space="preserve">UGR: 15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2024-02-25T19:57:55+01:00</dcterms:created>
  <dcterms:modified xsi:type="dcterms:W3CDTF">2024-02-25T19:57:55+01:00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