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Typ montażu: Deckenaufbau</w:t>
      </w:r>
    </w:p>
    <w:p>
      <w:pPr/>
      <w:r>
        <w:rPr/>
        <w:t xml:space="preserve">Klasa ochronności: 2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5,7 W W</w:t>
      </w:r>
    </w:p>
    <w:p>
      <w:pPr/>
      <w:r>
        <w:rPr/>
        <w:t xml:space="preserve">Moc w trybie BS: 0,8 W W</w:t>
      </w:r>
    </w:p>
    <w:p>
      <w:pPr/>
      <w:r>
        <w:rPr/>
        <w:t xml:space="preserve">Strumień świetlny - praca awaryjna: 520 lm lm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LFP3216-SET-2AKKU</w:t>
      </w:r>
    </w:p>
    <w:p>
      <w:pPr/>
    </w:p>
    <w:p>
      <w:pPr/>
      <w:r>
        <w:rPr/>
        <w:t xml:space="preserve">Numer artykułu: WQX411WL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2024-10-28T18:08:57+01:00</dcterms:created>
  <dcterms:modified xsi:type="dcterms:W3CDTF">2024-10-28T18:08:57+01:00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