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Matériau: Moulage sous pression de zinc</w:t>
      </w:r>
    </w:p>
    <w:p>
      <w:pPr/>
      <w:r>
        <w:rPr/>
        <w:t xml:space="preserve">Couleur: Edelstahl gebürstet</w:t>
      </w:r>
    </w:p>
    <w:p>
      <w:pPr/>
      <w:r>
        <w:rPr/>
        <w:t xml:space="preserve">Dimensions: 20 mm x 161 mm x 107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7</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3,9 W</w:t>
      </w:r>
    </w:p>
    <w:p>
      <w:pPr/>
      <w:r>
        <w:rPr/>
        <w:t xml:space="preserve">Puissance en mode veille: 0 W</w:t>
      </w:r>
    </w:p>
    <w:p>
      <w:pPr/>
      <w:r>
        <w:rPr/>
        <w:t xml:space="preserve">Flux lumineux en mode de secours: 420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WEF029-E</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2024-03-13T08:01:03+01:00</dcterms:created>
  <dcterms:modified xsi:type="dcterms:W3CDTF">2024-03-13T08:01:03+01:00</dcterms:modified>
</cp:coreProperties>
</file>

<file path=docProps/custom.xml><?xml version="1.0" encoding="utf-8"?>
<Properties xmlns="http://schemas.openxmlformats.org/officeDocument/2006/custom-properties" xmlns:vt="http://schemas.openxmlformats.org/officeDocument/2006/docPropsVTypes"/>
</file>