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anthracite.</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7016</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0,4 W W</w:t>
      </w:r>
    </w:p>
    <w:p>
      <w:pPr/>
      <w:r>
        <w:rPr/>
        <w:t xml:space="preserve">Luminous Flux Emergency Operation: 470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QCW529CC-AZ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555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2025-01-20T15:51:15+01:00</dcterms:created>
  <dcterms:modified xsi:type="dcterms:W3CDTF">2025-01-20T15:51:15+01:00</dcterms:modified>
</cp:coreProperties>
</file>

<file path=docProps/custom.xml><?xml version="1.0" encoding="utf-8"?>
<Properties xmlns="http://schemas.openxmlformats.org/officeDocument/2006/custom-properties" xmlns:vt="http://schemas.openxmlformats.org/officeDocument/2006/docPropsVTypes"/>
</file>