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afin d'éclairer de manière optimale les issues de secours et les voies d'évacuation, par exemple en cas de montage mural. 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2 W W</w:t>
      </w:r>
    </w:p>
    <w:p>
      <w:pPr/>
      <w:r>
        <w:rPr/>
        <w:t xml:space="preserve">Flux lumineux en mode de secours: 1600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QCW009ML-BM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B5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2024-09-16T16:40:21+02:00</dcterms:created>
  <dcterms:modified xsi:type="dcterms:W3CDTF">2024-09-16T16:40:21+02:00</dcterms:modified>
</cp:coreProperties>
</file>

<file path=docProps/custom.xml><?xml version="1.0" encoding="utf-8"?>
<Properties xmlns="http://schemas.openxmlformats.org/officeDocument/2006/custom-properties" xmlns:vt="http://schemas.openxmlformats.org/officeDocument/2006/docPropsVTypes"/>
</file>