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général et de sécurité selon DIN EN 60598-1, DIN EN 60598-2-22 et DIN EN 1838</w:t>
      </w:r>
      <w:br/>
      <w:br/>
      <w:r>
        <w:rPr/>
        <w:t xml:space="preserve">Luminaire général à LED rond et esthétique en aluminium pour montage mural ou au plafond avec élément d'éclairage de secours.  </w:t>
      </w:r>
      <w:br/>
      <w:r>
        <w:rPr/>
        <w:t xml:space="preserve">Couleur du boîtier au choix : alu anodisé ou blanc.</w:t>
      </w:r>
      <w:br/>
      <w:r>
        <w:rPr/>
        <w:t xml:space="preserve">Couleur de lumière au choix 4000 K ou 3000 K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-20 °C à 30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27,2 W W</w:t>
      </w:r>
    </w:p>
    <w:p>
      <w:pPr/>
      <w:r>
        <w:rPr/>
        <w:t xml:space="preserve">Puissance en mode veille: 1,2 W W</w:t>
      </w:r>
    </w:p>
    <w:p>
      <w:pPr/>
      <w:r>
        <w:rPr/>
        <w:t xml:space="preserve">Flux lumineux en mode de secours: 360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QAW029ML-SI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C059A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2024-08-23T16:41:20+02:00</dcterms:created>
  <dcterms:modified xsi:type="dcterms:W3CDTF">2024-08-23T16:41:20+02:00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