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370 mm x 105 mm x 152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2 W W</w:t>
      </w:r>
    </w:p>
    <w:p>
      <w:pPr/>
      <w:r>
        <w:rPr/>
        <w:t xml:space="preserve">Flux lumineux en mode de secours: 210 lm lm</w:t>
      </w:r>
    </w:p>
    <w:p>
      <w:pPr/>
    </w:p>
    <w:p>
      <w:pPr/>
    </w:p>
    <w:p>
      <w:pPr/>
      <w:r>
        <w:rPr/>
        <w:t xml:space="preserve">Batterie: LFP3233-SET-2AKKU</w:t>
      </w:r>
    </w:p>
    <w:p>
      <w:pPr/>
    </w:p>
    <w:p>
      <w:pPr/>
      <w:r>
        <w:rPr/>
        <w:t xml:space="preserve">Numéro d'article: PFW428SC</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8E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2024-11-20T09:27:56+01:00</dcterms:created>
  <dcterms:modified xsi:type="dcterms:W3CDTF">2024-11-20T09:27:56+01:00</dcterms:modified>
</cp:coreProperties>
</file>

<file path=docProps/custom.xml><?xml version="1.0" encoding="utf-8"?>
<Properties xmlns="http://schemas.openxmlformats.org/officeDocument/2006/custom-properties" xmlns:vt="http://schemas.openxmlformats.org/officeDocument/2006/docPropsVTypes"/>
</file>