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Classe de protection: 1</w:t>
      </w:r>
    </w:p>
    <w:p>
      <w:pPr/>
      <w:r>
        <w:rPr/>
        <w:t xml:space="preserve">Indice de protection (IP): IP 54</w:t>
      </w:r>
    </w:p>
    <w:p>
      <w:pPr/>
      <w:r>
        <w:rPr/>
        <w:t xml:space="preserve">Température permise en mode contenu: 10 °C à 35 °C °C</w:t>
      </w:r>
    </w:p>
    <w:p>
      <w:pPr/>
      <w:r>
        <w:rPr/>
        <w:t xml:space="preserve">Température permise en mode veille: 10 °C à 35 °C °C</w:t>
      </w:r>
    </w:p>
    <w:p>
      <w:pPr/>
    </w:p>
    <w:p>
      <w:pPr/>
      <w:r>
        <w:rPr/>
        <w:t xml:space="preserve">Numéro d'article: NVGS1051WL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2024-08-15T10:58:36+02:00</dcterms:created>
  <dcterms:modified xsi:type="dcterms:W3CDTF">2024-08-15T10:58:36+02:00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