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Luminaire à pictogramme conforme aux normes DIN EN 60598-1, DIN EN 60598-2-22 et DIN EN 1838. </w:t>
      </w:r>
      <w:br/>
      <w:r>
        <w:rPr/>
        <w:t xml:space="preserve">  </w:t>
      </w:r>
      <w:br/>
      <w:r>
        <w:rPr/>
        <w:t xml:space="preserve">Luminaire à disque en plastique innovant pour un montage universel (mur/plafond/encastrement au plafond*/flèche*). Boîtier conique pour une esthétique attrayante. Convient pour un allumage permanent ou en mode veille. Sécurité de planification grâce à l'utilisation variable et sans outil des pictogrammes sur place. Jeu de pictogrammes enfichables (gauche, droite, bas, haut) compris dans la livraison standard. </w:t>
      </w:r>
    </w:p>
    <w:p>
      <w:pPr/>
    </w:p>
    <w:p>
      <w:pPr/>
      <w:r>
        <w:rPr/>
        <w:t xml:space="preserve">Surveillance: </w:t>
      </w:r>
    </w:p>
    <w:p>
      <w:pPr/>
      <w:r>
        <w:rPr/>
        <w:t xml:space="preserve">Avec module de surveillance intégré avec commutateur d'adressage à 20 positions, pour un fonctionnement sur une installation à système centrale. Système de contrôle automatique conforme à la norme DIN EN 62034 type ER, en combinaison avec une installation de type MultiControl. Fonctions à respecter obligatoirement :</w:t>
      </w:r>
    </w:p>
    <w:p>
      <w:pPr>
        <w:numPr>
          <w:ilvl w:val="0"/>
          <w:numId w:val="2"/>
        </w:numPr>
      </w:pPr>
      <w:r>
        <w:rPr/>
        <w:t xml:space="preserve">Surveillance intégrée des luminaires individuels</w:t>
      </w:r>
    </w:p>
    <w:p>
      <w:pPr>
        <w:numPr>
          <w:ilvl w:val="0"/>
          <w:numId w:val="2"/>
        </w:numPr>
      </w:pPr>
      <w:r>
        <w:rPr/>
        <w:t xml:space="preserve">Fonction de gestionnaire de luminaires intégrée</w:t>
      </w:r>
    </w:p>
    <w:p>
      <w:pPr>
        <w:numPr>
          <w:ilvl w:val="0"/>
          <w:numId w:val="2"/>
        </w:numPr>
      </w:pPr>
      <w:r>
        <w:rPr/>
        <w:t xml:space="preserve">Possibilité de commutation individuelle en combinaison avec RP ELS - installation à système centrale</w:t>
      </w:r>
    </w:p>
    <w:p>
      <w:pPr/>
      <w:r>
        <w:rPr/>
        <w:t xml:space="preserve">Matériau: Matière plastique</w:t>
      </w:r>
    </w:p>
    <w:p>
      <w:pPr/>
      <w:r>
        <w:rPr/>
        <w:t xml:space="preserve">Couleur: RAL 9003</w:t>
      </w:r>
    </w:p>
    <w:p>
      <w:pPr/>
      <w:r>
        <w:rPr/>
        <w:t xml:space="preserve">Dimensions: 48 mm x 332 mm x 242 mm</w:t>
      </w:r>
    </w:p>
    <w:p>
      <w:pPr/>
      <w:r>
        <w:rPr/>
        <w:t xml:space="preserve">Diamètre:  mm</w:t>
      </w:r>
    </w:p>
    <w:p>
      <w:pPr/>
    </w:p>
    <w:p>
      <w:pPr/>
      <w:r>
        <w:rPr/>
        <w:t xml:space="preserve">Type de montage: Universal</w:t>
      </w:r>
    </w:p>
    <w:p>
      <w:pPr/>
      <w:r>
        <w:rPr/>
        <w:t xml:space="preserve">Classe de protection: 2</w:t>
      </w:r>
    </w:p>
    <w:p>
      <w:pPr/>
      <w:r>
        <w:rPr/>
        <w:t xml:space="preserve">Indice de protection (IP): IP 40</w:t>
      </w:r>
    </w:p>
    <w:p>
      <w:pPr/>
      <w:r>
        <w:rPr/>
        <w:t xml:space="preserve">Degré de résistance aux chocs IK: IK ≥ 3</w:t>
      </w:r>
    </w:p>
    <w:p>
      <w:pPr/>
      <w:r>
        <w:rPr/>
        <w:t xml:space="preserve">Température permise en mode contenu: -20 °C à 40 °C °C</w:t>
      </w:r>
    </w:p>
    <w:p>
      <w:pPr/>
      <w:r>
        <w:rPr/>
        <w:t xml:space="preserve">Température permise en mode veille: -20 °C à 40 °C °C</w:t>
      </w:r>
    </w:p>
    <w:p>
      <w:pPr/>
      <w:r>
        <w:rPr/>
        <w:t xml:space="preserve">Distance de reconnaissance: 30m m</w:t>
      </w:r>
    </w:p>
    <w:p>
      <w:pPr/>
      <w:r>
        <w:rPr/>
        <w:t xml:space="preserve">Pictogramme: Set</w:t>
      </w:r>
    </w:p>
    <w:p>
      <w:pPr/>
    </w:p>
    <w:p>
      <w:pPr/>
      <w:r>
        <w:rPr/>
        <w:t xml:space="preserve">Puissance en mode continu: 5,2 W W</w:t>
      </w:r>
    </w:p>
    <w:p>
      <w:pPr/>
      <w:r>
        <w:rPr/>
        <w:t xml:space="preserve">Puissance en mode veille: 1,1 W W</w:t>
      </w:r>
    </w:p>
    <w:p>
      <w:pPr/>
      <w:r>
        <w:rPr/>
        <w:t xml:space="preserve">Flux lumineux en mode de secours: 300 lm lm</w:t>
      </w:r>
    </w:p>
    <w:p>
      <w:pPr/>
    </w:p>
    <w:p>
      <w:pPr/>
      <w:r>
        <w:rPr/>
        <w:t xml:space="preserve">Tension d'entrée AC: 230 V V</w:t>
      </w:r>
    </w:p>
    <w:p>
      <w:pPr/>
      <w:r>
        <w:rPr/>
        <w:t xml:space="preserve">Section de raccordement: 2.5 mm² mm</w:t>
      </w:r>
    </w:p>
    <w:p>
      <w:pPr/>
    </w:p>
    <w:p>
      <w:pPr/>
      <w:r>
        <w:rPr/>
        <w:t xml:space="preserve">Batterie: </w:t>
      </w:r>
    </w:p>
    <w:p>
      <w:pPr/>
    </w:p>
    <w:p>
      <w:pPr/>
      <w:r>
        <w:rPr/>
        <w:t xml:space="preserve">Numéro d'article: KXU019ML</w:t>
      </w:r>
    </w:p>
    <w:p>
      <w:pPr/>
    </w:p>
    <w:p>
      <w:pPr/>
      <w:r>
        <w:rPr/>
        <w:t xml:space="preserve">Accessoires:</w:t>
      </w:r>
    </w:p>
    <w:p>
      <w:pPr/>
      <w:r>
        <w:rPr/>
        <w:t xml:space="preserve">Numéro d'article: KXE-EB,  </w:t>
      </w:r>
    </w:p>
    <w:p>
      <w:pPr/>
      <w:r>
        <w:rPr/>
        <w:t xml:space="preserve">Numéro d'article: AWX001,  </w:t>
      </w:r>
    </w:p>
    <w:p>
      <w:pPr/>
      <w:r>
        <w:rPr/>
        <w:t xml:space="preserve">Numéro d'article: DSA, </w:t>
      </w:r>
    </w:p>
    <w:p>
      <w:pPr/>
      <w:r>
        <w:rPr/>
        <w:t xml:space="preserve">Numéro d'article: 2PW-EB</w:t>
      </w:r>
    </w:p>
    <w:p>
      <w:pPr/>
      <w:r>
        <w:rPr/>
        <w:t xml:space="preserve">Numéro d'article: 2DW-EB</w:t>
      </w:r>
    </w:p>
    <w:p>
      <w:pPr/>
      <w:r>
        <w:rPr/>
        <w:t xml:space="preserve">Numéro d'article: KXBE,  </w:t>
      </w:r>
    </w:p>
    <w:p>
      <w:pPr/>
    </w:p>
    <w:p>
      <w:pPr/>
      <w:r>
        <w:rPr/>
        <w:t xml:space="preserve">Marque: RP-Technik GmbH</w:t>
      </w:r>
    </w:p>
    <w:sectPr>
      <w:pgSz w:orient="portrait" w:w="11905.511811023622" w:h="16837.79527559055"/>
      <w:pgMar w:top="1400" w:right="1400" w:bottom="1440" w:left="14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04036B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2024-10-17T14:35:53+02:00</dcterms:created>
  <dcterms:modified xsi:type="dcterms:W3CDTF">2024-10-17T14:35:53+02:00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