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9005</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22m m</w:t>
      </w:r>
    </w:p>
    <w:p>
      <w:pPr/>
      <w:r>
        <w:rPr/>
        <w:t xml:space="preserve">Piktogram: Set</w:t>
      </w:r>
    </w:p>
    <w:p>
      <w:pPr/>
    </w:p>
    <w:p>
      <w:pPr/>
      <w:r>
        <w:rPr/>
        <w:t xml:space="preserve">Strøm kontinuerlig drift: 3,3 W W</w:t>
      </w:r>
    </w:p>
    <w:p>
      <w:pPr/>
      <w:r>
        <w:rPr/>
        <w:t xml:space="preserve">Strøm i standby-modus: 1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LFP3216.01</w:t>
      </w:r>
    </w:p>
    <w:p>
      <w:pPr/>
    </w:p>
    <w:p>
      <w:pPr/>
      <w:r>
        <w:rPr/>
        <w:t xml:space="preserve">Varenummer: KSU413SC-SW</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7A34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2024-11-14T11:33:59+01:00</dcterms:created>
  <dcterms:modified xsi:type="dcterms:W3CDTF">2024-11-14T11:33:59+01:00</dcterms:modified>
</cp:coreProperties>
</file>

<file path=docProps/custom.xml><?xml version="1.0" encoding="utf-8"?>
<Properties xmlns="http://schemas.openxmlformats.org/officeDocument/2006/custom-properties" xmlns:vt="http://schemas.openxmlformats.org/officeDocument/2006/docPropsVTypes"/>
</file>