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mount/brackets).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on-site use of the pictograms.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-30 °C to 40 °C °C</w:t>
      </w:r>
    </w:p>
    <w:p>
      <w:pPr/>
      <w:r>
        <w:rPr/>
        <w:t xml:space="preserve">Allowed temperature BS: -30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3,2 W W</w:t>
      </w:r>
    </w:p>
    <w:p>
      <w:pPr/>
      <w:r>
        <w:rPr/>
        <w:t xml:space="preserve">Power non-maintained mode: 1 W W</w:t>
      </w:r>
    </w:p>
    <w:p>
      <w:pPr/>
      <w:r>
        <w:rPr/>
        <w:t xml:space="preserve">Luminous Flux Emergency Operation: 220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KSU019ML-SW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KSE-MB-WS, Mounting frame with metal cover to  accommodate the KSU type luminaires  Without test button  white</w:t>
      </w:r>
    </w:p>
    <w:p>
      <w:pPr/>
      <w:r>
        <w:rPr/>
        <w:t xml:space="preserve">Article number: KSE-MB-SI, Mounting frame with metal cover to  accommodate the KSU type luminaires  without test button  silver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045F8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2024-08-23T21:21:21+02:00</dcterms:created>
  <dcterms:modified xsi:type="dcterms:W3CDTF">2024-08-23T21:21:21+02:00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