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conforme aux normes DIN EN 60598-1, DIN EN 60598-2-22 et DIN EN 1838. </w:t>
      </w:r>
      <w:br/>
      <w:r>
        <w:rPr/>
        <w:t xml:space="preserve">  </w:t>
      </w:r>
      <w:br/>
      <w:r>
        <w:rPr/>
        <w:t xml:space="preserve">Luminaire en plastique mince pour un montage universel au mur/au plafond, ainsi qu'une console murale avec l'adaptateur fourni. Avec sortie de lumière supplémentaire vers le bas. Boîtier s'ouvrant sans outils. Convient pour l'éclairage permanent ou de veille. Sécurité de planification grâce à l'utilisation variable et sans outil des pictogrammes sur place. Jeu de pictogrammes (gauche, droite, bas, haut) compris dans la livraison standard. </w:t>
      </w:r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70 mm x 260 mm x 155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43</w:t>
      </w:r>
    </w:p>
    <w:p>
      <w:pPr/>
      <w:r>
        <w:rPr/>
        <w:t xml:space="preserve">Degré de résistance aux chocs IK: IK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22m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1,7 W W</w:t>
      </w:r>
    </w:p>
    <w:p>
      <w:pPr/>
      <w:r>
        <w:rPr/>
        <w:t xml:space="preserve">Puissance en mode veille: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KDU418SC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DSA, </w:t>
      </w:r>
    </w:p>
    <w:p>
      <w:pPr/>
      <w:r>
        <w:rPr/>
        <w:t xml:space="preserve">Numéro d'article: BALL1,  </w:t>
      </w:r>
    </w:p>
    <w:p>
      <w:pPr/>
      <w:r>
        <w:rPr/>
        <w:t xml:space="preserve">Numéro d'article: 2PW-EB</w:t>
      </w:r>
    </w:p>
    <w:p>
      <w:pPr/>
      <w:r>
        <w:rPr/>
        <w:t xml:space="preserve">Numéro d'article: 2DW-EB</w:t>
      </w:r>
    </w:p>
    <w:p>
      <w:pPr/>
      <w:r>
        <w:rPr/>
        <w:t xml:space="preserve">Numéro d'article: BALLPLX-KD,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ED73C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2024-11-01T10:27:00+01:00</dcterms:created>
  <dcterms:modified xsi:type="dcterms:W3CDTF">2024-11-01T10:27:00+01:00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