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pour un montage universel au mur/au plafond, ainsi qu'une console murale avec l'adaptateur fourni. Avec sortie de lumière supplémentaire vers le bas. Boîtier s'ouvrant sans outils. Convient pour l'éclairage permanent ou de veille. Sécurité de planification grâce à l'utilisation variable et sans outil des pictogrammes sur place. Jeu de pictogrammes (gauche, droite, bas, haut) compris dans la livraison standard. 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70 mm x 260 mm x 155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43</w:t>
      </w:r>
    </w:p>
    <w:p>
      <w:pPr/>
      <w:r>
        <w:rPr/>
        <w:t xml:space="preserve">Degré de résistance aux chocs IK: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22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3,5 W</w:t>
      </w:r>
    </w:p>
    <w:p>
      <w:pPr/>
      <w:r>
        <w:rPr/>
        <w:t xml:space="preserve">Puissance en mode veille: 0,9 W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LFP3216-SET-2AKKU</w:t>
      </w:r>
    </w:p>
    <w:p>
      <w:pPr/>
    </w:p>
    <w:p>
      <w:pPr/>
      <w:r>
        <w:rPr/>
        <w:t xml:space="preserve">Numéro d'article: KDU411SC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BALL1, </w:t>
      </w:r>
    </w:p>
    <w:p>
      <w:pPr/>
      <w:r>
        <w:rPr/>
        <w:t xml:space="preserve">Numéro d'article: 2PW-EB, </w:t>
      </w:r>
    </w:p>
    <w:p>
      <w:pPr/>
      <w:r>
        <w:rPr/>
        <w:t xml:space="preserve">Numéro d'article: 2DW-EB, </w:t>
      </w:r>
    </w:p>
    <w:p>
      <w:pPr/>
      <w:r>
        <w:rPr/>
        <w:t xml:space="preserve">Numéro d'article: BALLPLX-KD,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98328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2024-06-11T15:54:44+02:00</dcterms:created>
  <dcterms:modified xsi:type="dcterms:W3CDTF">2024-06-11T15:54:44+02:00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