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60 mm x 340 mm x 170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3</w:t>
      </w:r>
    </w:p>
    <w:p>
      <w:pPr/>
      <w:r>
        <w:rPr/>
        <w:t xml:space="preserve">lbl-protectionRating: 64</w:t>
      </w:r>
    </w:p>
    <w:p>
      <w:pPr/>
      <w:r>
        <w:rPr/>
        <w:t xml:space="preserve">lbl-impactResistanceRate: 6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3,8 W</w:t>
      </w:r>
    </w:p>
    <w:p>
      <w:pPr/>
      <w:r>
        <w:rPr/>
        <w:t xml:space="preserve">~lbl-lv-LeistungBereitschaftsbetrieb: 0,4 W</w:t>
      </w:r>
    </w:p>
    <w:p>
      <w:pPr/>
      <w:r>
        <w:rPr/>
        <w:t xml:space="preserve">~lbl-lv-LichtstromNotbetrieb: 335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24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KCW519CC-IP64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BALL2, </w:t>
      </w:r>
    </w:p>
    <w:p>
      <w:pPr/>
      <w:r>
        <w:rPr/>
        <w:t xml:space="preserve">lbl-articleNumber: DWKCW, </w:t>
      </w:r>
    </w:p>
    <w:p>
      <w:pPr/>
      <w:r>
        <w:rPr/>
        <w:t xml:space="preserve">lbl-articleNumber: KC-IP65, </w:t>
      </w:r>
    </w:p>
    <w:p>
      <w:pPr/>
      <w:r>
        <w:rPr/>
        <w:t xml:space="preserve">lbl-articleNumber: KCER, </w:t>
      </w:r>
    </w:p>
    <w:p>
      <w:pPr/>
      <w:r>
        <w:rPr/>
        <w:t xml:space="preserve">lbl-articleNumber: KCWFH,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2024-02-25T22:02:53+01:00</dcterms:created>
  <dcterms:modified xsi:type="dcterms:W3CDTF">2024-02-25T22:02:53+01:00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