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à pictogramme / de sécurité conforme aux normes DIN EN 60598-1, DIN EN 60598-2-22 et DIN EN 1838. </w:t>
      </w:r>
      <w:br/>
      <w:r>
        <w:rPr/>
        <w:t xml:space="preserve">  </w:t>
      </w:r>
      <w:br/>
      <w:r>
        <w:rPr/>
        <w:t xml:space="preserve">Luminaire en plastique mince et convexe pour montage mural. Luminaire à pictogramme avec jeu de pictogrammes enfichables, sans solvant, à l'intérieur (gauche, droite, bas, haut), compris dans la livraison standard. Utilisable simultanément comme luminaire de sécurité sans utilisation des pictogrammes avec le cache transparent inclus. </w:t>
      </w:r>
      <w:br/>
      <w:r>
        <w:rPr/>
        <w:t xml:space="preserve">Éclairage uniforme grâce à un réflecteur orienté et chromé. Convient pour un allumage permanent ou en mode veille.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Version avec système de test automatique selon DIN EN 62034 type S, y compris bouton de test SelfControl :</w:t>
      </w:r>
    </w:p>
    <w:p>
      <w:pPr>
        <w:pPr/>
        <w:numPr>
          <w:ilvl w:val="0"/>
          <w:numId w:val="2"/>
        </w:numPr>
      </w:pPr>
      <w:r>
        <w:rPr/>
        <w:t xml:space="preserve">Résultats des tests avec analyse des pannes (ampoules, circuit de charge et de batterie) et affichage de l'état (fonctionnement, test de fonctionnement, test d'autonomie) via 3 LED de couleur.</w:t>
      </w:r>
    </w:p>
    <w:p>
      <w:pPr>
        <w:pPr/>
        <w:numPr>
          <w:ilvl w:val="0"/>
          <w:numId w:val="2"/>
        </w:numPr>
      </w:pPr>
      <w:r>
        <w:rPr/>
        <w:t xml:space="preserve">Test de fonctionnement automatique (hebdomadaire)</w:t>
      </w:r>
    </w:p>
    <w:p>
      <w:pPr>
        <w:pPr/>
        <w:numPr>
          <w:ilvl w:val="0"/>
          <w:numId w:val="2"/>
        </w:numPr>
      </w:pPr>
      <w:r>
        <w:rPr/>
        <w:t xml:space="preserve">Test d'autonomie automatique (tous les 12 mois)</w:t>
      </w:r>
    </w:p>
    <w:p>
      <w:pPr>
        <w:pPr/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pPr/>
        <w:numPr>
          <w:ilvl w:val="0"/>
          <w:numId w:val="2"/>
        </w:numPr>
      </w:pPr>
      <w:r>
        <w:rPr/>
        <w:t xml:space="preserve">Protection contre la décharge totale avec blocage de la remise en marche</w:t>
      </w:r>
    </w:p>
    <w:p>
      <w:pPr>
        <w:pPr/>
        <w:numPr>
          <w:ilvl w:val="0"/>
          <w:numId w:val="2"/>
        </w:numPr>
      </w:pPr>
      <w:r>
        <w:rPr/>
        <w:t xml:space="preserve">Coupure à vide et en cas de court-circuit de l'onduleur</w:t>
      </w:r>
    </w:p>
    <w:p>
      <w:pPr/>
      <w:r>
        <w:rPr/>
        <w:t xml:space="preserve">Matériau: Plastique</w:t>
      </w:r>
    </w:p>
    <w:p>
      <w:pPr/>
      <w:r>
        <w:rPr/>
        <w:t xml:space="preserve">Couleur: RAL 9003</w:t>
      </w:r>
    </w:p>
    <w:p>
      <w:pPr/>
      <w:r>
        <w:rPr/>
        <w:t xml:space="preserve">Dimensions: 60 mm x 340 mm x 170 mm</w:t>
      </w:r>
    </w:p>
    <w:p>
      <w:pPr/>
    </w:p>
    <w:p>
      <w:pPr/>
      <w:r>
        <w:rPr/>
        <w:t xml:space="preserve">Type de montage: Wand</w:t>
      </w:r>
    </w:p>
    <w:p>
      <w:pPr/>
      <w:r>
        <w:rPr/>
        <w:t xml:space="preserve">Classe de protection: 2</w:t>
      </w:r>
    </w:p>
    <w:p>
      <w:pPr/>
      <w:r>
        <w:rPr/>
        <w:t xml:space="preserve">Indice de protection (IP): 54</w:t>
      </w:r>
    </w:p>
    <w:p>
      <w:pPr/>
      <w:r>
        <w:rPr/>
        <w:t xml:space="preserve">Degré de résistance aux chocs IK: 6</w:t>
      </w:r>
    </w:p>
    <w:p>
      <w:pPr/>
      <w:r>
        <w:rPr/>
        <w:t xml:space="preserve">Température permise en mode contenu: -5 à 40 °C</w:t>
      </w:r>
    </w:p>
    <w:p>
      <w:pPr/>
      <w:r>
        <w:rPr/>
        <w:t xml:space="preserve">Température permise en mode veille: -5 à 40 °C</w:t>
      </w:r>
    </w:p>
    <w:p>
      <w:pPr/>
      <w:r>
        <w:rPr/>
        <w:t xml:space="preserve">Pictogramme: Set</w:t>
      </w:r>
    </w:p>
    <w:p>
      <w:pPr/>
    </w:p>
    <w:p>
      <w:pPr/>
      <w:r>
        <w:rPr/>
        <w:t xml:space="preserve">Puissance en mode continu: 4,6 W</w:t>
      </w:r>
    </w:p>
    <w:p>
      <w:pPr/>
      <w:r>
        <w:rPr/>
        <w:t xml:space="preserve">Puissance en mode veille: 0,9 W</w:t>
      </w:r>
    </w:p>
    <w:p>
      <w:pPr/>
      <w:r>
        <w:rPr/>
        <w:t xml:space="preserve">Flux lumineux en mode de secours: 320 lm</w:t>
      </w:r>
    </w:p>
    <w:p>
      <w:pPr/>
      <w:r>
        <w:rPr/>
        <w:t xml:space="preserve">Temps d'autonomie: 1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1.5 mm</w:t>
      </w:r>
    </w:p>
    <w:p>
      <w:pPr/>
    </w:p>
    <w:p>
      <w:pPr/>
      <w:r>
        <w:rPr/>
        <w:t xml:space="preserve">Batterie: LFP3216-SET-2AKKU</w:t>
      </w:r>
    </w:p>
    <w:p>
      <w:pPr/>
    </w:p>
    <w:p>
      <w:pPr/>
      <w:r>
        <w:rPr/>
        <w:t xml:space="preserve">Numéro d'article: KCW411SC-BZS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BALL2, </w:t>
      </w:r>
    </w:p>
    <w:p>
      <w:pPr/>
      <w:r>
        <w:rPr/>
        <w:t xml:space="preserve">Numéro d'article: DWKCW, </w:t>
      </w:r>
    </w:p>
    <w:p>
      <w:pPr/>
      <w:r>
        <w:rPr/>
        <w:t xml:space="preserve">Numéro d'article: KC-IP65, </w:t>
      </w:r>
    </w:p>
    <w:p>
      <w:pPr/>
      <w:r>
        <w:rPr/>
        <w:t xml:space="preserve">Numéro d'article: KCER, </w:t>
      </w:r>
    </w:p>
    <w:p>
      <w:pPr/>
      <w:r>
        <w:rPr/>
        <w:t xml:space="preserve">Numéro d'article: KCWFH,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918D25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2024-06-13T12:41:10+02:00</dcterms:created>
  <dcterms:modified xsi:type="dcterms:W3CDTF">2024-06-13T12:41:10+02:00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