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au plafond. Luminaire à pictogramme avec jeu de pictogrammes enfichables, sans solvant, à l'intérieur (gauche, droite, bas, haut), compris dans la livraison standard. Convient pour un allumage permanent ou en mode veille.</w:t>
      </w:r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70 mm x 260 mm x 155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Deckenaufbau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64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0,9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Numéro d'article: KCD411SC-IP64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KCAWW,  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2PW-EB</w:t>
      </w:r>
    </w:p>
    <w:p>
      <w:pPr/>
      <w:r>
        <w:rPr/>
        <w:t xml:space="preserve">Numéro d'article: WKL,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F1564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2024-12-09T10:39:13+01:00</dcterms:created>
  <dcterms:modified xsi:type="dcterms:W3CDTF">2024-12-09T10:39:13+01:00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