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 W</w:t>
      </w:r>
    </w:p>
    <w:p>
      <w:pPr/>
      <w:r>
        <w:rPr/>
        <w:t xml:space="preserve">Power non-maintained mode: 1,1 W W</w:t>
      </w:r>
    </w:p>
    <w:p>
      <w:pPr/>
      <w:r>
        <w:rPr/>
        <w:t xml:space="preserve">Luminous Flux Emergency Operation: 335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lbl-articleNumber: KCD019ML-BZS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lbl-articleNumber: KCAWW, KC plastic wall bracket white Flag mounting</w:t>
      </w:r>
    </w:p>
    <w:p>
      <w:pPr/>
      <w:r>
        <w:rPr/>
        <w:t xml:space="preserve">lbl-articleNumber: DSA, cord suspension set 1,5m</w:t>
      </w:r>
    </w:p>
    <w:p>
      <w:pPr/>
      <w:r>
        <w:rPr/>
        <w:t xml:space="preserve">lbl-articleNumber: 2PW-EB</w:t>
      </w:r>
    </w:p>
    <w:p>
      <w:pPr/>
      <w:r>
        <w:rPr/>
        <w:t xml:space="preserve">lbl-articleNumber: WKL, surcharge 2 x chain eyelet for luminaires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0D44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2024-07-09T09:25:52+02:00</dcterms:created>
  <dcterms:modified xsi:type="dcterms:W3CDTF">2024-07-09T09:25:52+02:00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