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326 mm x 50 mm x 248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64</w:t>
      </w:r>
    </w:p>
    <w:p>
      <w:pPr/>
      <w:r>
        <w:rPr/>
        <w:t xml:space="preserve">Degré de résistance aux chocs IK: IK 7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30m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 W</w:t>
      </w:r>
    </w:p>
    <w:p>
      <w:pPr/>
      <w:r>
        <w:rPr/>
        <w:t xml:space="preserve">Puissance en mode veille: 0,8 W W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Numéro d'article: KAXU401WL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B2DB6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2024-07-17T10:01:43+02:00</dcterms:created>
  <dcterms:modified xsi:type="dcterms:W3CDTF">2024-07-17T10:01:43+02:00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