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aus Kunststoff zur Universalmontage. Die Universalmontage beinhaltet die Möglichkeit die Leuchte wahlweise als Wand- oder Deckenanbau zu montieren. Das quaderförmiges Kunststoﬀgehäuse ist dezent auf das Wesentliche reduziert. Die hohe Schutzart ermöglicht den Einsatz in Feuchträumen oder Umgebungen mit hoher Verschmutzung. </w:t>
      </w:r>
      <w:br/>
      <w:r>
        <w:rPr/>
        <w:t xml:space="preserve">Display-Scheibenleuchte mit integrierter Lichtverteilung zur gleichmäßgien Ausleuchtung des Piktogrammes. Geeignet zur ein- oder zweiseitigen Beschriftung.</w:t>
      </w:r>
      <w:br/>
      <w:br/>
      <w:r>
        <w:rPr/>
        <w:t xml:space="preserve">Planungssicherheit ist durch werkzeuglosen, variablen Einsatz der Piktogramme vor Ort gegeben. Ein Piktogrammset entsprechend DIN ISO 7010 (Pfeil rechts, links, oben und unten) ist standardmäßig im Lieferumfang enthalten.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326 mm x 50 mm x 204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7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KAMU408SC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B773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2024-10-29T17:04:07+01:00</dcterms:created>
  <dcterms:modified xsi:type="dcterms:W3CDTF">2024-10-29T17:04:07+01:00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