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80.9 mm x 417.5 mm x 245.5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40m m</w:t>
      </w:r>
    </w:p>
    <w:p>
      <w:pPr/>
      <w:r>
        <w:rPr/>
        <w:t xml:space="preserve">Pictogramme: Einzeln n.A.</w:t>
      </w:r>
    </w:p>
    <w:p>
      <w:pPr/>
    </w:p>
    <w:p>
      <w:pPr/>
      <w:r>
        <w:rPr/>
        <w:t xml:space="preserve">Puissance en mode continu: 3,4 W W</w:t>
      </w:r>
    </w:p>
    <w:p>
      <w:pPr/>
      <w:r>
        <w:rPr/>
        <w:t xml:space="preserve">Puissance en mode veille: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GABW401SC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BF498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2024-10-02T13:20:59+02:00</dcterms:created>
  <dcterms:modified xsi:type="dcterms:W3CDTF">2024-10-02T13:20:59+02:00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