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kvadratiske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 lampe:</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Pressstøping av sink</w:t>
      </w:r>
    </w:p>
    <w:p>
      <w:pPr/>
      <w:r>
        <w:rPr/>
        <w:t xml:space="preserve">Farge: RAL 9003</w:t>
      </w:r>
    </w:p>
    <w:p>
      <w:pPr/>
      <w:r>
        <w:rPr/>
        <w:t xml:space="preserve">Dimensions: 104 mm x 104 mm x 39 mm</w:t>
      </w:r>
    </w:p>
    <w:p>
      <w:pPr/>
      <w:r>
        <w:rPr/>
        <w:t xml:space="preserve">Diameter:  mm</w:t>
      </w:r>
    </w:p>
    <w:p>
      <w:pPr/>
    </w:p>
    <w:p>
      <w:pPr/>
      <w:r>
        <w:rPr/>
        <w:t xml:space="preserve">Type montering: Deckenaufbau</w:t>
      </w:r>
    </w:p>
    <w:p>
      <w:pPr/>
      <w:r>
        <w:rPr/>
        <w:t xml:space="preserve">Beskyttelsesklasse: 2</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2,3 W W</w:t>
      </w:r>
    </w:p>
    <w:p>
      <w:pPr/>
      <w:r>
        <w:rPr/>
        <w:t xml:space="preserve">Strøm i standby-modus: 0,4 W W</w:t>
      </w:r>
    </w:p>
    <w:p>
      <w:pPr/>
      <w:r>
        <w:rPr/>
        <w:t xml:space="preserve">Lysstrøm Nøddrift: 250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EAQL423WL</w:t>
      </w:r>
    </w:p>
    <w:p>
      <w:pPr/>
    </w:p>
    <w:p>
      <w:pPr/>
      <w:r>
        <w:rPr/>
        <w:t xml:space="preserve">Tilbehør:</w:t>
      </w:r>
    </w:p>
    <w:p>
      <w:pPr/>
      <w:r>
        <w:rPr/>
        <w:t xml:space="preserve">Varenummer: ILD-APA-02, </w:t>
      </w:r>
    </w:p>
    <w:p>
      <w:pPr/>
      <w:r>
        <w:rPr/>
        <w:t xml:space="preserve">Varenummer: LSYS-B4, </w:t>
      </w:r>
    </w:p>
    <w:p>
      <w:pPr/>
      <w:r>
        <w:rPr/>
        <w:t xml:space="preserve">Varenummer: LSYS-F4, </w:t>
      </w:r>
    </w:p>
    <w:p>
      <w:pPr/>
      <w:r>
        <w:rPr/>
        <w:t xml:space="preserve">Varenummer: LSYS-R4, </w:t>
      </w:r>
    </w:p>
    <w:p>
      <w:pPr/>
      <w:r>
        <w:rPr/>
        <w:t xml:space="preserve">Varenummer: LSYS-S4,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EE12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2024-10-29T14:15:21+01:00</dcterms:created>
  <dcterms:modified xsi:type="dcterms:W3CDTF">2024-10-29T14:15:21+01:00</dcterms:modified>
</cp:coreProperties>
</file>

<file path=docProps/custom.xml><?xml version="1.0" encoding="utf-8"?>
<Properties xmlns="http://schemas.openxmlformats.org/officeDocument/2006/custom-properties" xmlns:vt="http://schemas.openxmlformats.org/officeDocument/2006/docPropsVTypes"/>
</file>