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apparent carré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s'intégrer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104 mm x 104 mm x 39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1,9 W W</w:t>
      </w:r>
    </w:p>
    <w:p>
      <w:pPr/>
      <w:r>
        <w:rPr/>
        <w:t xml:space="preserve">Puissance en mode veille: 0,2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EAQL421SC-AZ</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C0F5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2024-10-01T14:57:10+02:00</dcterms:created>
  <dcterms:modified xsi:type="dcterms:W3CDTF">2024-10-01T14:57:10+02:00</dcterms:modified>
</cp:coreProperties>
</file>

<file path=docProps/custom.xml><?xml version="1.0" encoding="utf-8"?>
<Properties xmlns="http://schemas.openxmlformats.org/officeDocument/2006/custom-properties" xmlns:vt="http://schemas.openxmlformats.org/officeDocument/2006/docPropsVTypes"/>
</file>