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Transparent</w:t>
      </w:r>
    </w:p>
    <w:p>
      <w:pPr/>
      <w:r>
        <w:rPr/>
        <w:t xml:space="preserve">Wymiary: 24 mm x 50 mm x 12 mm</w:t>
      </w:r>
    </w:p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36 mm x 58 mm x 250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Deckeneinbau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1,6 W W</w:t>
      </w:r>
    </w:p>
    <w:p>
      <w:pPr/>
      <w:r>
        <w:rPr/>
        <w:t xml:space="preserve">Moc w trybie BS: 0,35 W W</w:t>
      </w:r>
    </w:p>
    <w:p>
      <w:pPr/>
      <w:r>
        <w:rPr/>
        <w:t xml:space="preserve">Strumień świetlny - praca awaryjna: 140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DOE023-PL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2024-10-25T12:43:21+02:00</dcterms:created>
  <dcterms:modified xsi:type="dcterms:W3CDTF">2024-10-25T12:43:21+02:00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