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trou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chaque type de montage. </w:t>
      </w:r>
      <w:br/>
      <w:br/>
      <w:r>
        <w:rPr/>
        <w:t xml:space="preserve">Les caractéristiques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Zinc moulé sous pression</w:t>
      </w:r>
    </w:p>
    <w:p>
      <w:pPr/>
      <w:r>
        <w:rPr/>
        <w:t xml:space="preserve">Couleur: RAL 7016</w:t>
      </w:r>
    </w:p>
    <w:p>
      <w:pPr/>
      <w:r>
        <w:rPr/>
        <w:t xml:space="preserve">Dimensions: 79 mm x 312 mm x 194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-20 °C à 40 °C °C</w:t>
      </w:r>
    </w:p>
    <w:p>
      <w:pPr/>
      <w:r>
        <w:rPr/>
        <w:t xml:space="preserve">Température permise en mode veille: -20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1,1 W W</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AXE009ML-AZ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3B60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2024-08-23T17:11:04+02:00</dcterms:created>
  <dcterms:modified xsi:type="dcterms:W3CDTF">2024-08-23T17:11:04+02:00</dcterms:modified>
</cp:coreProperties>
</file>

<file path=docProps/custom.xml><?xml version="1.0" encoding="utf-8"?>
<Properties xmlns="http://schemas.openxmlformats.org/officeDocument/2006/custom-properties" xmlns:vt="http://schemas.openxmlformats.org/officeDocument/2006/docPropsVTypes"/>
</file>