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Wandeinbaumontage.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durchgängigem, nicht sichtbarem Piktogrammhalter</w:t>
      </w:r>
      <w:br/>
      <w:r>
        <w:rPr/>
        <w:t xml:space="preserve">- Montagegehäuse bei allen A-Serienvarianten identisch.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  <w:r>
        <w:rPr/>
        <w:t xml:space="preserve">Überwachung: </w:t>
      </w:r>
    </w:p>
    <w:p>
      <w:pPr/>
      <w:r>
        <w:rPr/>
        <w:t xml:space="preserve">Ausführung mit automatischem Prüfsystem gemäß DIN EN 62034 Typ S inkl. Test-Taster SelfControl:</w:t>
      </w:r>
    </w:p>
    <w:p>
      <w:pPr>
        <w:numPr>
          <w:ilvl w:val="0"/>
          <w:numId w:val="2"/>
        </w:numPr>
      </w:pPr>
      <w:r>
        <w:rPr/>
        <w:t xml:space="preserve">Testergebnisse mit Störungsanalyse (Leuchtmittel, Lade- und Batteriekreis) sowie Statusanzeigen (Betrieb, Funktionstest, Betriebsdauertest) über 3 farbige LEDs</w:t>
      </w:r>
    </w:p>
    <w:p>
      <w:pPr>
        <w:numPr>
          <w:ilvl w:val="0"/>
          <w:numId w:val="2"/>
        </w:numPr>
      </w:pPr>
      <w:r>
        <w:rPr/>
        <w:t xml:space="preserve">Automatischer Funktionstest (wöchentlich)</w:t>
      </w:r>
    </w:p>
    <w:p>
      <w:pPr>
        <w:numPr>
          <w:ilvl w:val="0"/>
          <w:numId w:val="2"/>
        </w:numPr>
      </w:pPr>
      <w:r>
        <w:rPr/>
        <w:t xml:space="preserve">Automatischer Betriebsdauertest (alle 12 Monate)</w:t>
      </w:r>
    </w:p>
    <w:p>
      <w:pPr>
        <w:numPr>
          <w:ilvl w:val="0"/>
          <w:numId w:val="2"/>
        </w:numPr>
      </w:pPr>
      <w:r>
        <w:rPr/>
        <w:t xml:space="preserve">Automatische 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>
        <w:numPr>
          <w:ilvl w:val="0"/>
          <w:numId w:val="2"/>
        </w:numPr>
      </w:pPr>
      <w:r>
        <w:rPr/>
        <w:t xml:space="preserve">Leerlauf- und Kurzschlussabschaltung des Wechselrichters</w:t>
      </w:r>
    </w:p>
    <w:p>
      <w:pPr/>
      <w:r>
        <w:rPr/>
        <w:t xml:space="preserve">Material: Zink-Druckguss</w:t>
      </w:r>
    </w:p>
    <w:p>
      <w:pPr/>
      <w:r>
        <w:rPr/>
        <w:t xml:space="preserve">Farbe: Edelstahl</w:t>
      </w:r>
    </w:p>
    <w:p>
      <w:pPr/>
      <w:r>
        <w:rPr/>
        <w:t xml:space="preserve">Maße: 79 mm x 236 mm x 151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Wandeinbau</w:t>
      </w:r>
    </w:p>
    <w:p>
      <w:pPr/>
      <w:r>
        <w:rPr/>
        <w:t xml:space="preserve">Schutzklasse: 2</w:t>
      </w:r>
    </w:p>
    <w:p>
      <w:pPr/>
      <w:r>
        <w:rPr/>
        <w:t xml:space="preserve">Schutzart (IP): IP 40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22m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3,5 W W</w:t>
      </w:r>
    </w:p>
    <w:p>
      <w:pPr/>
      <w:r>
        <w:rPr/>
        <w:t xml:space="preserve">Leistung Bereitschaftsbetrieb: 0,9 W W</w:t>
      </w:r>
    </w:p>
    <w:p>
      <w:pPr/>
    </w:p>
    <w:p>
      <w:pPr/>
      <w:r>
        <w:rPr/>
        <w:t xml:space="preserve">Batterie: LFP3212.K-SET-2AKKU, LiFePO4 Batterie</w:t>
      </w:r>
    </w:p>
    <w:p>
      <w:pPr/>
    </w:p>
    <w:p>
      <w:pPr/>
      <w:r>
        <w:rPr/>
        <w:t xml:space="preserve">Artikelnummer: AMR401SC-E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BALLPLX-AM, Ballschutzhaube 330x250x77mm inkl. Laschen Plexiglas klar für AMW, PMMA vergütet</w:t>
      </w:r>
    </w:p>
    <w:p>
      <w:pPr/>
      <w:r>
        <w:rPr/>
        <w:t xml:space="preserve">Artikelnummer: AM-XBE, A-Serie Betoneinputzkasten  für AMC, AMR, AXC, AXR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FBBB6AC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2024-07-16T10:22:28+02:00</dcterms:created>
  <dcterms:modified xsi:type="dcterms:W3CDTF">2024-07-16T10:22:28+02:00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