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9003</w:t>
      </w:r>
    </w:p>
    <w:p>
      <w:pPr/>
      <w:r>
        <w:rPr/>
        <w:t xml:space="preserve">Dimensions: 92 mm x 236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2,5 W W</w:t>
      </w:r>
    </w:p>
    <w:p>
      <w:pPr/>
      <w:r>
        <w:rPr/>
        <w:t xml:space="preserve">Puissance en mode veille: 0,4 W W</w:t>
      </w:r>
    </w:p>
    <w:p>
      <w:pPr/>
      <w:r>
        <w:rPr/>
        <w:t xml:space="preserve">Flux lumineux en mode de secours: 165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AME509CC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2024-08-23T20:31:12+02:00</dcterms:created>
  <dcterms:modified xsi:type="dcterms:W3CDTF">2024-08-23T20:31:12+02:00</dcterms:modified>
</cp:coreProperties>
</file>

<file path=docProps/custom.xml><?xml version="1.0" encoding="utf-8"?>
<Properties xmlns="http://schemas.openxmlformats.org/officeDocument/2006/custom-properties" xmlns:vt="http://schemas.openxmlformats.org/officeDocument/2006/docPropsVTypes"/>
</file>