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80 mm x 236 mm x 214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22m m</w:t>
      </w:r>
    </w:p>
    <w:p>
      <w:pPr/>
      <w:r>
        <w:rPr/>
        <w:t xml:space="preserve">Pictogramme: Set</w:t>
      </w:r>
    </w:p>
    <w:p>
      <w:pPr/>
    </w:p>
    <w:p>
      <w:pPr/>
      <w:r>
        <w:rPr/>
        <w:t xml:space="preserve">Puissance en mode continu: 2,4 W W</w:t>
      </w:r>
    </w:p>
    <w:p>
      <w:pPr/>
      <w:r>
        <w:rPr/>
        <w:t xml:space="preserve">Puissance en mode veille: 0 W W</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AMC009-AZ</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2024-09-04T15:28:45+02:00</dcterms:created>
  <dcterms:modified xsi:type="dcterms:W3CDTF">2024-09-04T15:28:45+02:00</dcterms:modified>
</cp:coreProperties>
</file>

<file path=docProps/custom.xml><?xml version="1.0" encoding="utf-8"?>
<Properties xmlns="http://schemas.openxmlformats.org/officeDocument/2006/custom-properties" xmlns:vt="http://schemas.openxmlformats.org/officeDocument/2006/docPropsVTypes"/>
</file>