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Zinc moulé sous pression</w:t>
      </w:r>
    </w:p>
    <w:p>
      <w:pPr/>
      <w:r>
        <w:rPr/>
        <w:t xml:space="preserve">Couleur: RAL 7016</w:t>
      </w:r>
    </w:p>
    <w:p>
      <w:pPr/>
      <w:r>
        <w:rPr/>
        <w:t xml:space="preserve">Dimensions: 73 mm x 517 mm x 296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6,1 W W</w:t>
      </w:r>
    </w:p>
    <w:p>
      <w:pPr/>
      <w:r>
        <w:rPr/>
        <w:t xml:space="preserve">Puissance en mode veille: 1,1 W W</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AGR009ML-AZ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DCF4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2024-09-04T09:41:09+02:00</dcterms:created>
  <dcterms:modified xsi:type="dcterms:W3CDTF">2024-09-04T09:41:09+02:00</dcterms:modified>
</cp:coreProperties>
</file>

<file path=docProps/custom.xml><?xml version="1.0" encoding="utf-8"?>
<Properties xmlns="http://schemas.openxmlformats.org/officeDocument/2006/custom-properties" xmlns:vt="http://schemas.openxmlformats.org/officeDocument/2006/docPropsVTypes"/>
</file>