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Zwei Piktogramme gemäß DIN EN ISO 7010 und DIN ISO 3864 (links, rechts, unten, oben) sind im Lieferumfang enthalten.  </w:t>
      </w:r>
    </w:p>
    <w:p>
      <w:pPr/>
    </w:p>
    <w:p>
      <w:pPr/>
      <w:r>
        <w:rPr/>
        <w:t xml:space="preserve">lbl-monitoring: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lbl-material: Zink-Druckguss</w:t>
      </w:r>
    </w:p>
    <w:p>
      <w:pPr/>
      <w:r>
        <w:rPr/>
        <w:t xml:space="preserve">lbl-color: RAL 7016</w:t>
      </w:r>
    </w:p>
    <w:p>
      <w:pPr/>
      <w:r>
        <w:rPr/>
        <w:t xml:space="preserve">maße: 80 mm x 512 mm x 338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40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50m m</w:t>
      </w:r>
    </w:p>
    <w:p>
      <w:pPr/>
      <w:r>
        <w:rPr/>
        <w:t xml:space="preserve">lbl-pictogram: Einzeln n.A.</w:t>
      </w:r>
    </w:p>
    <w:p>
      <w:pPr/>
    </w:p>
    <w:p>
      <w:pPr/>
      <w:r>
        <w:rPr/>
        <w:t xml:space="preserve">~lbl-lv-LeistungDauerbetrieb: 6,1 W W</w:t>
      </w:r>
    </w:p>
    <w:p>
      <w:pPr/>
      <w:r>
        <w:rPr/>
        <w:t xml:space="preserve">~lbl-lv-LeistungBereitschaftsbetrieb: 1,1 W W</w:t>
      </w:r>
    </w:p>
    <w:p>
      <w:pPr/>
    </w:p>
    <w:p>
      <w:pPr/>
      <w:r>
        <w:rPr/>
        <w:t xml:space="preserve">~lbl-lv-EingangsspannungAC: 230 V V</w:t>
      </w:r>
    </w:p>
    <w:p>
      <w:pPr/>
      <w:r>
        <w:rPr/>
        <w:t xml:space="preserve">~lbl-lv-Anschlussquerschnitt: 2.5 mm²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AGDC009ML-AZ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20BAB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2024-07-17T09:33:45+02:00</dcterms:created>
  <dcterms:modified xsi:type="dcterms:W3CDTF">2024-07-17T09:33:45+02:00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