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lbl-monitoring: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lbl-material: Zinc moulé sous pression</w:t>
      </w:r>
    </w:p>
    <w:p>
      <w:pPr/>
      <w:r>
        <w:rPr/>
        <w:t xml:space="preserve">lbl-color: RAL 7016</w:t>
      </w:r>
    </w:p>
    <w:p>
      <w:pPr/>
      <w:r>
        <w:rPr/>
        <w:t xml:space="preserve">maße: 80 mm x 517 mm x 330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3,2 W W</w:t>
      </w:r>
    </w:p>
    <w:p>
      <w:pPr/>
      <w:r>
        <w:rPr/>
        <w:t xml:space="preserve">~lbl-lv-LeistungBereitschaftsbetrieb: 0,9 W W</w:t>
      </w:r>
    </w:p>
    <w:p>
      <w:pPr/>
    </w:p>
    <w:p>
      <w:pPr/>
      <w:r>
        <w:rPr/>
        <w:t xml:space="preserve">lbl-batterie: LFP3212.K-SET-2AKKU, {{Produkt - BatteryPerformance - BatteryTechnology (P:17:110)}} Batterie</w:t>
      </w:r>
    </w:p>
    <w:p>
      <w:pPr/>
    </w:p>
    <w:p>
      <w:pPr/>
      <w:r>
        <w:rPr/>
        <w:t xml:space="preserve">lbl-articleNumber: AGD403SC-AZ</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698C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2024-07-17T09:31:57+02:00</dcterms:created>
  <dcterms:modified xsi:type="dcterms:W3CDTF">2024-07-17T09:31:57+02:00</dcterms:modified>
</cp:coreProperties>
</file>

<file path=docProps/custom.xml><?xml version="1.0" encoding="utf-8"?>
<Properties xmlns="http://schemas.openxmlformats.org/officeDocument/2006/custom-properties" xmlns:vt="http://schemas.openxmlformats.org/officeDocument/2006/docPropsVTypes"/>
</file>