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Puissance de sortie max:  VA</w:t>
      </w:r>
    </w:p>
    <w:p>
      <w:pPr/>
      <w:r>
        <w:rPr/>
        <w:t xml:space="preserve">Sortie de commutation: 345 VA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Degré de protection (IP): IP 20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50 mm</w:t>
      </w:r>
    </w:p>
    <w:p>
      <w:pPr/>
      <w:r>
        <w:rPr/>
        <w:t xml:space="preserve">Dimensions du produit largeur: 48 mm</w:t>
      </w:r>
    </w:p>
    <w:p>
      <w:pPr/>
      <w:r>
        <w:rPr/>
        <w:t xml:space="preserve">Dimensions du produit hauteur: 30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2024-06-07T11:32:32+02:00</dcterms:created>
  <dcterms:modified xsi:type="dcterms:W3CDTF">2024-06-07T11:32:32+02:00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