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Compatible DC: Oui</w:t>
      </w:r>
    </w:p>
    <w:p>
      <w:pPr/>
      <w:r>
        <w:rPr/>
        <w:t xml:space="preserve">Puissance nominale: 30 W</w:t>
      </w:r>
    </w:p>
    <w:p>
      <w:pPr/>
      <w:r>
        <w:rPr/>
        <w:t xml:space="preserve">Tension d'entrée DC: 216 V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4.200 lm</w:t>
      </w:r>
    </w:p>
    <w:p>
      <w:pPr/>
      <w:r>
        <w:rPr/>
        <w:t xml:space="preserve">Température de couleur: 4000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66</w:t>
      </w:r>
    </w:p>
    <w:p>
      <w:pPr/>
      <w:r>
        <w:rPr/>
        <w:t xml:space="preserve">Résistance aux chocs: IK 08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196 mm</w:t>
      </w:r>
    </w:p>
    <w:p>
      <w:pPr/>
      <w:r>
        <w:rPr/>
        <w:t xml:space="preserve">Dimensions du produit largeur: 183 mm</w:t>
      </w:r>
    </w:p>
    <w:p>
      <w:pPr/>
      <w:r>
        <w:rPr/>
        <w:t xml:space="preserve">Dimensions du produit hauteur: 37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2024-02-25T22:24:29+01:00</dcterms:created>
  <dcterms:modified xsi:type="dcterms:W3CDTF">2024-02-25T22:24:29+01:00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